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33" w:rsidRDefault="00452581">
      <w:pPr>
        <w:spacing w:after="124"/>
        <w:ind w:right="55"/>
      </w:pPr>
      <w:r>
        <w:t xml:space="preserve">. </w:t>
      </w:r>
    </w:p>
    <w:p w:rsidR="00565D33" w:rsidRPr="0029170A" w:rsidRDefault="00452581" w:rsidP="0029170A">
      <w:pPr>
        <w:spacing w:line="259" w:lineRule="auto"/>
        <w:ind w:left="1080" w:right="55" w:firstLine="0"/>
        <w:rPr>
          <w:b/>
          <w:sz w:val="28"/>
          <w:szCs w:val="28"/>
        </w:rPr>
      </w:pPr>
      <w:r w:rsidRPr="0029170A">
        <w:rPr>
          <w:b/>
          <w:sz w:val="28"/>
          <w:szCs w:val="28"/>
        </w:rPr>
        <w:t xml:space="preserve">Temporary New Business Loan Program:  Paycheck Protection Program </w:t>
      </w:r>
    </w:p>
    <w:p w:rsidR="00565D33" w:rsidRDefault="00452581">
      <w:pPr>
        <w:spacing w:after="0" w:line="259" w:lineRule="auto"/>
        <w:ind w:left="360" w:firstLine="0"/>
      </w:pPr>
      <w:r>
        <w:t xml:space="preserve"> </w:t>
      </w:r>
    </w:p>
    <w:p w:rsidR="00565D33" w:rsidRDefault="00452581">
      <w:pPr>
        <w:spacing w:after="0" w:line="259" w:lineRule="auto"/>
        <w:ind w:left="355"/>
      </w:pPr>
      <w:r>
        <w:rPr>
          <w:b/>
          <w:i/>
        </w:rPr>
        <w:t xml:space="preserve">Overview </w:t>
      </w:r>
      <w:bookmarkStart w:id="0" w:name="_GoBack"/>
      <w:bookmarkEnd w:id="0"/>
    </w:p>
    <w:p w:rsidR="00565D33" w:rsidRDefault="00452581">
      <w:pPr>
        <w:spacing w:after="0" w:line="259" w:lineRule="auto"/>
        <w:ind w:left="360" w:firstLine="0"/>
      </w:pPr>
      <w:r>
        <w:rPr>
          <w:i/>
        </w:rPr>
        <w:t xml:space="preserve"> </w:t>
      </w:r>
    </w:p>
    <w:p w:rsidR="00565D33" w:rsidRDefault="00452581">
      <w:pPr>
        <w:ind w:left="0" w:right="55" w:firstLine="360"/>
      </w:pPr>
      <w:r>
        <w:t>The CARES Act was enacted to provide immediate assistance to individuals, families, a</w:t>
      </w:r>
      <w:r>
        <w:t>nd businesses affected by the COVID-19 emergency.  Among the provisions contained in the CARES Act are provisions authorizing SBA to temporarily guarantee loans under a new 7(a) loan program titled the “Paycheck Protection Program.”  Loans guaranteed under</w:t>
      </w:r>
      <w:r>
        <w:t xml:space="preserve"> the Paycheck Protection Program (PPP) will be 100 percent guaranteed by SBA, and the full principal amount of the loans may qualify for loan forgiveness.  The following outlines the key provisions of the PPP.  </w:t>
      </w:r>
    </w:p>
    <w:p w:rsidR="00565D33" w:rsidRDefault="00452581">
      <w:pPr>
        <w:numPr>
          <w:ilvl w:val="0"/>
          <w:numId w:val="2"/>
        </w:numPr>
        <w:spacing w:after="0" w:line="259" w:lineRule="auto"/>
        <w:ind w:hanging="360"/>
      </w:pPr>
      <w:r>
        <w:rPr>
          <w:b/>
          <w:i/>
        </w:rPr>
        <w:t>General</w:t>
      </w:r>
      <w:r>
        <w:rPr>
          <w:b/>
        </w:rPr>
        <w:t xml:space="preserve"> </w:t>
      </w:r>
    </w:p>
    <w:p w:rsidR="00565D33" w:rsidRDefault="00452581">
      <w:pPr>
        <w:ind w:left="0" w:right="55" w:firstLine="360"/>
      </w:pPr>
      <w:r>
        <w:t>SBA is authorized to guarantee loan</w:t>
      </w:r>
      <w:r>
        <w:t>s under the PPP through June 30, 2020.  Congress authorized a program level of $349,000,000,000 to provide guaranteed loans under this new 7(a) program.  The intent of the Act is that SBA provide relief to America’s small businesses expeditiously, which is</w:t>
      </w:r>
      <w:r>
        <w:t xml:space="preserve"> expressed in the Act by giving all lenders delegated authority and streamlining the requirements of the regular 7(a) loan program.  For example, for loans made under the PPP, SBA will not require the lenders to comply with section 120.150 “What are SBA’s </w:t>
      </w:r>
      <w:r>
        <w:t>lending criteria?.”  SBA will allow lenders to rely on certifications of the borrower in order to determine eligibility of the borrower and use of loan proceeds and to rely on specified documents provided by the borrower to determine qualifying loan amount</w:t>
      </w:r>
      <w:r>
        <w:t xml:space="preserve"> and eligibility for loan forgiveness.  Lenders must comply with the applicable lender obligations set forth in this interim final rule, but will be held harmless for borrowers’ failure to comply with program criteria; remedies for borrower </w:t>
      </w:r>
      <w:r>
        <w:lastRenderedPageBreak/>
        <w:t>violations or f</w:t>
      </w:r>
      <w:r>
        <w:t xml:space="preserve">raud are separately addressed in this interim final rule.  The program requirements of the PPP identified in this rule temporarily supersede any conflicting Loan </w:t>
      </w:r>
    </w:p>
    <w:p w:rsidR="00565D33" w:rsidRDefault="00452581">
      <w:pPr>
        <w:spacing w:after="264" w:line="259" w:lineRule="auto"/>
        <w:ind w:right="55"/>
      </w:pPr>
      <w:r>
        <w:t xml:space="preserve">Program Requirement (as defined in 13 CFR 120.10). </w:t>
      </w:r>
    </w:p>
    <w:p w:rsidR="00565D33" w:rsidRDefault="00452581">
      <w:pPr>
        <w:numPr>
          <w:ilvl w:val="0"/>
          <w:numId w:val="2"/>
        </w:numPr>
        <w:spacing w:after="256" w:line="259" w:lineRule="auto"/>
        <w:ind w:hanging="360"/>
      </w:pPr>
      <w:r>
        <w:rPr>
          <w:b/>
          <w:i/>
        </w:rPr>
        <w:t xml:space="preserve">What Do Borrowers Need to Know and Do? </w:t>
      </w:r>
    </w:p>
    <w:p w:rsidR="00565D33" w:rsidRDefault="00452581">
      <w:pPr>
        <w:spacing w:after="256" w:line="259" w:lineRule="auto"/>
        <w:ind w:left="355"/>
      </w:pPr>
      <w:r>
        <w:t>a.</w:t>
      </w:r>
      <w:r>
        <w:rPr>
          <w:rFonts w:ascii="Arial" w:eastAsia="Arial" w:hAnsi="Arial" w:cs="Arial"/>
        </w:rPr>
        <w:t xml:space="preserve"> </w:t>
      </w:r>
      <w:r>
        <w:rPr>
          <w:i/>
        </w:rPr>
        <w:t xml:space="preserve">Am I eligible?  </w:t>
      </w:r>
      <w:r>
        <w:t xml:space="preserve"> </w:t>
      </w:r>
    </w:p>
    <w:p w:rsidR="00565D33" w:rsidRDefault="00452581">
      <w:pPr>
        <w:ind w:left="715" w:right="55"/>
      </w:pPr>
      <w:r>
        <w:t>You are eligible for a PPP loan if you have 500 or fewer employees whose principal place of residence is in the United States, or are a business that operates in a certain industry and meet the applicable SBA employee-based size standa</w:t>
      </w:r>
      <w:r>
        <w:t xml:space="preserve">rds for that industry, and: </w:t>
      </w:r>
    </w:p>
    <w:p w:rsidR="00565D33" w:rsidRDefault="00452581">
      <w:pPr>
        <w:spacing w:line="259" w:lineRule="auto"/>
        <w:ind w:left="1090" w:right="55"/>
      </w:pPr>
      <w:r>
        <w:t>i.</w:t>
      </w:r>
      <w:r>
        <w:rPr>
          <w:rFonts w:ascii="Arial" w:eastAsia="Arial" w:hAnsi="Arial" w:cs="Arial"/>
        </w:rPr>
        <w:t xml:space="preserve"> </w:t>
      </w:r>
      <w:r>
        <w:t xml:space="preserve">You are: </w:t>
      </w:r>
    </w:p>
    <w:p w:rsidR="00565D33" w:rsidRDefault="00452581">
      <w:pPr>
        <w:numPr>
          <w:ilvl w:val="0"/>
          <w:numId w:val="3"/>
        </w:numPr>
        <w:ind w:right="55" w:hanging="180"/>
      </w:pPr>
      <w:r>
        <w:t>A small business concern as defined in section 3 of the Small Business Act (15 USC 632), and subject to SBA’s affiliation rules under 13 CFR</w:t>
      </w:r>
      <w:r>
        <w:rPr>
          <w:rFonts w:ascii="Cambria" w:eastAsia="Cambria" w:hAnsi="Cambria" w:cs="Cambria"/>
        </w:rPr>
        <w:t xml:space="preserve"> </w:t>
      </w:r>
      <w:r>
        <w:t xml:space="preserve">121.301(f) unless specifically waived in the </w:t>
      </w:r>
    </w:p>
    <w:p w:rsidR="00565D33" w:rsidRDefault="00452581">
      <w:pPr>
        <w:spacing w:after="281" w:line="259" w:lineRule="auto"/>
        <w:ind w:left="2170" w:right="55"/>
      </w:pPr>
      <w:r>
        <w:t xml:space="preserve">Act;   </w:t>
      </w:r>
    </w:p>
    <w:p w:rsidR="00565D33" w:rsidRDefault="00452581">
      <w:pPr>
        <w:numPr>
          <w:ilvl w:val="0"/>
          <w:numId w:val="3"/>
        </w:numPr>
        <w:ind w:right="55" w:hanging="180"/>
      </w:pPr>
      <w:r>
        <w:t>A tax-exempt nonpro</w:t>
      </w:r>
      <w:r>
        <w:t xml:space="preserve">fit organization described in section 501(c)(3) of the Internal Revenue Code (IRC), a tax-exempt veterans organization described in section 501(c)(19) of the IRC, </w:t>
      </w:r>
    </w:p>
    <w:p w:rsidR="00565D33" w:rsidRDefault="00452581">
      <w:pPr>
        <w:spacing w:after="252" w:line="259" w:lineRule="auto"/>
        <w:ind w:left="2170" w:right="55"/>
      </w:pPr>
      <w:r>
        <w:t xml:space="preserve">Tribal business concern described in section 31(b)(2)(C) of the </w:t>
      </w:r>
    </w:p>
    <w:p w:rsidR="00565D33" w:rsidRDefault="00452581">
      <w:pPr>
        <w:spacing w:after="260" w:line="259" w:lineRule="auto"/>
        <w:ind w:left="2170" w:right="55"/>
      </w:pPr>
      <w:r>
        <w:t xml:space="preserve">Small Business Act, or any </w:t>
      </w:r>
      <w:r>
        <w:t xml:space="preserve">other business; and    </w:t>
      </w:r>
    </w:p>
    <w:p w:rsidR="00565D33" w:rsidRDefault="00452581">
      <w:pPr>
        <w:ind w:left="1440" w:right="55" w:hanging="360"/>
      </w:pPr>
      <w:r>
        <w:t>ii.</w:t>
      </w:r>
      <w:r>
        <w:rPr>
          <w:rFonts w:ascii="Arial" w:eastAsia="Arial" w:hAnsi="Arial" w:cs="Arial"/>
        </w:rPr>
        <w:t xml:space="preserve"> </w:t>
      </w:r>
      <w:r>
        <w:t xml:space="preserve">You were in operation on February 15, 2020 and either had employees for whom you paid salaries and payroll taxes or paid independent contractors, as reported on a Form 1099-MISC. </w:t>
      </w:r>
    </w:p>
    <w:p w:rsidR="00565D33" w:rsidRDefault="00452581">
      <w:pPr>
        <w:ind w:left="1090" w:right="55"/>
      </w:pPr>
      <w:r>
        <w:t xml:space="preserve">You are also eligible for a PPP loan if you are </w:t>
      </w:r>
      <w:r>
        <w:t>an individual who operates under a sole proprietorship or as an independent contractor or eligible self</w:t>
      </w:r>
      <w:r w:rsidR="0029170A">
        <w:t>-</w:t>
      </w:r>
      <w:r>
        <w:lastRenderedPageBreak/>
        <w:t xml:space="preserve">employed individual, you were in operation on February 15, 2020.   You must also submit such documentation as is necessary to establish eligibility such </w:t>
      </w:r>
      <w:r>
        <w:t xml:space="preserve">as payroll processor records, payroll tax filings, or Form 1099MISC, or income and expenses from a sole proprietorship.  For borrowers that do not have any such documentation, the borrower must provide other supporting documentation, such as bank records, </w:t>
      </w:r>
      <w:r>
        <w:t xml:space="preserve">sufficient to demonstrate the qualifying payroll amount.   </w:t>
      </w:r>
    </w:p>
    <w:p w:rsidR="00565D33" w:rsidRDefault="00452581">
      <w:pPr>
        <w:ind w:left="1090" w:right="55"/>
      </w:pPr>
      <w:r>
        <w:t xml:space="preserve">SBA intends to promptly issue additional guidance with regard to the applicability of affiliation rules at 13 CFR §§ 121.103 and 121.301 to PPP loans.  </w:t>
      </w:r>
    </w:p>
    <w:p w:rsidR="00565D33" w:rsidRDefault="00452581">
      <w:pPr>
        <w:numPr>
          <w:ilvl w:val="0"/>
          <w:numId w:val="4"/>
        </w:numPr>
        <w:spacing w:after="256" w:line="259" w:lineRule="auto"/>
        <w:ind w:hanging="360"/>
      </w:pPr>
      <w:r>
        <w:rPr>
          <w:i/>
        </w:rPr>
        <w:t>Could I be ineligible even if I meet the eligibility requirements in (a) above?</w:t>
      </w:r>
      <w:r>
        <w:t xml:space="preserve"> </w:t>
      </w:r>
    </w:p>
    <w:p w:rsidR="00565D33" w:rsidRDefault="00452581">
      <w:pPr>
        <w:spacing w:after="260" w:line="259" w:lineRule="auto"/>
        <w:ind w:left="715" w:right="55"/>
      </w:pPr>
      <w:r>
        <w:t xml:space="preserve">You are ineligible for a PPP loan if, for example: </w:t>
      </w:r>
    </w:p>
    <w:p w:rsidR="00565D33" w:rsidRDefault="00452581">
      <w:pPr>
        <w:ind w:left="1090" w:right="55"/>
      </w:pPr>
      <w:r>
        <w:t>i.</w:t>
      </w:r>
      <w:r>
        <w:rPr>
          <w:rFonts w:ascii="Arial" w:eastAsia="Arial" w:hAnsi="Arial" w:cs="Arial"/>
        </w:rPr>
        <w:t xml:space="preserve"> </w:t>
      </w:r>
      <w:r>
        <w:t>You are engaged in any activity that is illegal under federal, state, or local law;  ii.</w:t>
      </w:r>
      <w:r>
        <w:rPr>
          <w:rFonts w:ascii="Arial" w:eastAsia="Arial" w:hAnsi="Arial" w:cs="Arial"/>
        </w:rPr>
        <w:t xml:space="preserve"> </w:t>
      </w:r>
      <w:r>
        <w:t>You are a household employer (i</w:t>
      </w:r>
      <w:r>
        <w:t>ndividuals who employ household employees such as nannies or housekeepers);  iii.</w:t>
      </w:r>
      <w:r>
        <w:rPr>
          <w:rFonts w:ascii="Arial" w:eastAsia="Arial" w:hAnsi="Arial" w:cs="Arial"/>
        </w:rPr>
        <w:t xml:space="preserve"> </w:t>
      </w:r>
      <w:r>
        <w:t>An owner of 20 percent or more of the equity of the applicant is incarcerated, on probation, on parole; presently subject to an indictment, criminal information, arraignment,</w:t>
      </w:r>
      <w:r>
        <w:t xml:space="preserve"> or other means by which formal criminal charges are brought in any jurisdiction; or has been convicted of a felony within the last five years; or iv.</w:t>
      </w:r>
      <w:r>
        <w:rPr>
          <w:rFonts w:ascii="Arial" w:eastAsia="Arial" w:hAnsi="Arial" w:cs="Arial"/>
        </w:rPr>
        <w:t xml:space="preserve"> </w:t>
      </w:r>
      <w:r>
        <w:t>You, or any business owned or controlled by you or any of your owners, has ever obtained a direct or guar</w:t>
      </w:r>
      <w:r>
        <w:t xml:space="preserve">anteed loan from SBA or any other Federal agency that is currently delinquent or has defaulted within the last seven years and caused a loss to the government. </w:t>
      </w:r>
    </w:p>
    <w:p w:rsidR="00565D33" w:rsidRDefault="00452581">
      <w:pPr>
        <w:ind w:left="715" w:right="55"/>
      </w:pPr>
      <w:r>
        <w:lastRenderedPageBreak/>
        <w:t>The Administrator, in consultation with the Secretary of the Treasury (the Secretary), determin</w:t>
      </w:r>
      <w:r>
        <w:t xml:space="preserve">ed that household employers are ineligible because they are not businesses.  13 CFR 120.100. </w:t>
      </w:r>
    </w:p>
    <w:p w:rsidR="00565D33" w:rsidRDefault="00452581">
      <w:pPr>
        <w:numPr>
          <w:ilvl w:val="0"/>
          <w:numId w:val="4"/>
        </w:numPr>
        <w:spacing w:after="256" w:line="259" w:lineRule="auto"/>
        <w:ind w:hanging="360"/>
      </w:pPr>
      <w:r>
        <w:rPr>
          <w:i/>
        </w:rPr>
        <w:t>How do I determine if I am ineligible?</w:t>
      </w:r>
      <w:r>
        <w:t xml:space="preserve">   </w:t>
      </w:r>
    </w:p>
    <w:p w:rsidR="00565D33" w:rsidRDefault="00452581">
      <w:pPr>
        <w:ind w:left="715" w:right="55"/>
      </w:pPr>
      <w:r>
        <w:t xml:space="preserve">Businesses that are not eligible for PPP loans are identified in 13 CFR 120.110 and described further in SBA’s Standard Operating Procedure (SOP) 50 10, </w:t>
      </w:r>
    </w:p>
    <w:p w:rsidR="00565D33" w:rsidRDefault="00452581">
      <w:pPr>
        <w:spacing w:after="252" w:line="259" w:lineRule="auto"/>
        <w:ind w:left="715" w:right="55"/>
      </w:pPr>
      <w:r>
        <w:t xml:space="preserve">Subpart B, Chapter 2, except that nonprofit organizations authorized under the </w:t>
      </w:r>
    </w:p>
    <w:p w:rsidR="00565D33" w:rsidRDefault="00452581">
      <w:pPr>
        <w:spacing w:after="252" w:line="259" w:lineRule="auto"/>
        <w:ind w:left="715" w:right="55"/>
      </w:pPr>
      <w:r>
        <w:t>Act are eligible.  (SO</w:t>
      </w:r>
      <w:r>
        <w:t xml:space="preserve">P 50 10 can be found at </w:t>
      </w:r>
      <w:hyperlink r:id="rId8">
        <w:r>
          <w:rPr>
            <w:color w:val="0000FF"/>
            <w:u w:val="single" w:color="0000FF"/>
          </w:rPr>
          <w:t>https://www.sba.gov/document/sop-</w:t>
        </w:r>
      </w:hyperlink>
    </w:p>
    <w:p w:rsidR="00565D33" w:rsidRDefault="00452581">
      <w:pPr>
        <w:spacing w:after="260" w:line="259" w:lineRule="auto"/>
        <w:ind w:left="730"/>
      </w:pPr>
      <w:hyperlink r:id="rId9">
        <w:r>
          <w:rPr>
            <w:color w:val="0000FF"/>
            <w:u w:val="single" w:color="0000FF"/>
          </w:rPr>
          <w:t>50-10-5-lender-development-company-loan-programs</w:t>
        </w:r>
      </w:hyperlink>
      <w:hyperlink r:id="rId10">
        <w:r>
          <w:t>.</w:t>
        </w:r>
      </w:hyperlink>
      <w:r>
        <w:t xml:space="preserve">) </w:t>
      </w:r>
    </w:p>
    <w:p w:rsidR="00565D33" w:rsidRDefault="00452581">
      <w:pPr>
        <w:numPr>
          <w:ilvl w:val="0"/>
          <w:numId w:val="4"/>
        </w:numPr>
        <w:spacing w:after="256" w:line="259" w:lineRule="auto"/>
        <w:ind w:hanging="360"/>
      </w:pPr>
      <w:r>
        <w:rPr>
          <w:i/>
        </w:rPr>
        <w:t>I have determined that I am eligible.</w:t>
      </w:r>
      <w:r>
        <w:t xml:space="preserve">  </w:t>
      </w:r>
      <w:r>
        <w:rPr>
          <w:i/>
        </w:rPr>
        <w:t xml:space="preserve">How much can I borrow? </w:t>
      </w:r>
    </w:p>
    <w:p w:rsidR="00565D33" w:rsidRDefault="00452581">
      <w:pPr>
        <w:ind w:left="715" w:right="55"/>
      </w:pPr>
      <w:r>
        <w:t>Under the PPP, the maximum loan amou</w:t>
      </w:r>
      <w:r>
        <w:t xml:space="preserve">nt is the lesser of $10 million or an amount that you will calculate using a payroll-based formula specified in the Act, as explained below.   </w:t>
      </w:r>
    </w:p>
    <w:p w:rsidR="00565D33" w:rsidRDefault="00452581">
      <w:pPr>
        <w:numPr>
          <w:ilvl w:val="0"/>
          <w:numId w:val="4"/>
        </w:numPr>
        <w:spacing w:after="256" w:line="259" w:lineRule="auto"/>
        <w:ind w:hanging="360"/>
      </w:pPr>
      <w:r>
        <w:rPr>
          <w:i/>
        </w:rPr>
        <w:t>How do I calculate the maximum amount I can borrow?</w:t>
      </w:r>
      <w:r>
        <w:t xml:space="preserve"> </w:t>
      </w:r>
    </w:p>
    <w:p w:rsidR="00565D33" w:rsidRDefault="00452581">
      <w:pPr>
        <w:ind w:left="715" w:right="55"/>
      </w:pPr>
      <w:r>
        <w:t>The following methodology, which is one of the methodologie</w:t>
      </w:r>
      <w:r>
        <w:t xml:space="preserve">s contained in the Act,  will be most useful for many applicants. </w:t>
      </w:r>
    </w:p>
    <w:p w:rsidR="00565D33" w:rsidRDefault="00452581">
      <w:pPr>
        <w:numPr>
          <w:ilvl w:val="3"/>
          <w:numId w:val="5"/>
        </w:numPr>
        <w:ind w:right="55" w:hanging="360"/>
      </w:pPr>
      <w:r>
        <w:t xml:space="preserve">Step 1: Aggregate payroll costs (defined in detail below in f.) from the last twelve months for employees whose principal place of residence is the United States. </w:t>
      </w:r>
    </w:p>
    <w:p w:rsidR="00565D33" w:rsidRDefault="00452581">
      <w:pPr>
        <w:numPr>
          <w:ilvl w:val="3"/>
          <w:numId w:val="5"/>
        </w:numPr>
        <w:ind w:right="55" w:hanging="360"/>
      </w:pPr>
      <w:r>
        <w:t>Step 2: Subtract any comp</w:t>
      </w:r>
      <w:r>
        <w:t xml:space="preserve">ensation paid to an employee in excess of an annual salary of $100,000 and/or any amounts paid to an independent contractor or sole proprietor in excess of $100,000 per year. </w:t>
      </w:r>
    </w:p>
    <w:p w:rsidR="00565D33" w:rsidRDefault="00452581">
      <w:pPr>
        <w:numPr>
          <w:ilvl w:val="3"/>
          <w:numId w:val="5"/>
        </w:numPr>
        <w:spacing w:after="252" w:line="259" w:lineRule="auto"/>
        <w:ind w:right="55" w:hanging="360"/>
      </w:pPr>
      <w:r>
        <w:t xml:space="preserve">Step 3: Calculate average monthly payroll costs (divide the amount from </w:t>
      </w:r>
    </w:p>
    <w:p w:rsidR="00565D33" w:rsidRDefault="00452581">
      <w:pPr>
        <w:spacing w:after="260" w:line="259" w:lineRule="auto"/>
        <w:ind w:left="1450" w:right="55"/>
      </w:pPr>
      <w:r>
        <w:lastRenderedPageBreak/>
        <w:t xml:space="preserve">Step 2 by 12). </w:t>
      </w:r>
    </w:p>
    <w:p w:rsidR="00565D33" w:rsidRDefault="00452581">
      <w:pPr>
        <w:numPr>
          <w:ilvl w:val="3"/>
          <w:numId w:val="5"/>
        </w:numPr>
        <w:spacing w:after="260" w:line="259" w:lineRule="auto"/>
        <w:ind w:right="55" w:hanging="360"/>
      </w:pPr>
      <w:r>
        <w:t xml:space="preserve">Step 4: Multiply the average monthly payroll costs from Step 3 by 2.5.  </w:t>
      </w:r>
    </w:p>
    <w:p w:rsidR="00565D33" w:rsidRDefault="00452581">
      <w:pPr>
        <w:numPr>
          <w:ilvl w:val="3"/>
          <w:numId w:val="5"/>
        </w:numPr>
        <w:spacing w:after="252" w:line="259" w:lineRule="auto"/>
        <w:ind w:right="55" w:hanging="360"/>
      </w:pPr>
      <w:r>
        <w:t xml:space="preserve">Step 5: Add the outstanding amount of an Economic Injury Disaster Loan </w:t>
      </w:r>
    </w:p>
    <w:p w:rsidR="00565D33" w:rsidRDefault="00452581">
      <w:pPr>
        <w:spacing w:line="259" w:lineRule="auto"/>
        <w:ind w:left="1450" w:right="55"/>
      </w:pPr>
      <w:r>
        <w:t xml:space="preserve">(EIDL) made between January 31, 2020 and April 3, 2020, less the </w:t>
      </w:r>
    </w:p>
    <w:p w:rsidR="00565D33" w:rsidRDefault="00452581">
      <w:pPr>
        <w:ind w:left="1450" w:right="55"/>
      </w:pPr>
      <w:r>
        <w:t>amount of any “advance” under</w:t>
      </w:r>
      <w:r>
        <w:t xml:space="preserve"> an EIDL COVID-19 loan (because it does not have to be repaid). </w:t>
      </w:r>
    </w:p>
    <w:p w:rsidR="00565D33" w:rsidRDefault="00452581">
      <w:pPr>
        <w:spacing w:after="260" w:line="259" w:lineRule="auto"/>
        <w:ind w:left="715" w:right="55"/>
      </w:pPr>
      <w:r>
        <w:t xml:space="preserve">The examples below illustrate this methodology. </w:t>
      </w:r>
    </w:p>
    <w:p w:rsidR="00565D33" w:rsidRDefault="00452581">
      <w:pPr>
        <w:spacing w:after="252" w:line="259" w:lineRule="auto"/>
        <w:ind w:left="1090" w:right="55"/>
      </w:pPr>
      <w:r>
        <w:t>i.</w:t>
      </w:r>
      <w:r>
        <w:rPr>
          <w:rFonts w:ascii="Arial" w:eastAsia="Arial" w:hAnsi="Arial" w:cs="Arial"/>
        </w:rPr>
        <w:t xml:space="preserve"> </w:t>
      </w:r>
      <w:r>
        <w:t xml:space="preserve">Example 1 – No employees make more than $100,000 </w:t>
      </w:r>
    </w:p>
    <w:p w:rsidR="00565D33" w:rsidRDefault="00452581">
      <w:pPr>
        <w:spacing w:after="252" w:line="259" w:lineRule="auto"/>
        <w:ind w:left="1810" w:right="55"/>
      </w:pPr>
      <w:r>
        <w:t xml:space="preserve">Annual payroll: $120,000 </w:t>
      </w:r>
    </w:p>
    <w:p w:rsidR="00565D33" w:rsidRDefault="00452581">
      <w:pPr>
        <w:ind w:left="1810" w:right="2678"/>
      </w:pPr>
      <w:r>
        <w:t xml:space="preserve">Average monthly payroll: $10,000 Multiply by 2.5 = $25,000 </w:t>
      </w:r>
    </w:p>
    <w:p w:rsidR="00565D33" w:rsidRDefault="00452581">
      <w:pPr>
        <w:ind w:left="1080" w:right="1788" w:firstLine="720"/>
      </w:pPr>
      <w:r>
        <w:t>Max</w:t>
      </w:r>
      <w:r>
        <w:t>imum loan amount is $25,000 ii.</w:t>
      </w:r>
      <w:r>
        <w:rPr>
          <w:rFonts w:ascii="Arial" w:eastAsia="Arial" w:hAnsi="Arial" w:cs="Arial"/>
        </w:rPr>
        <w:t xml:space="preserve"> </w:t>
      </w:r>
      <w:r>
        <w:t xml:space="preserve">Example 2 – Some employees make more than $100,000 </w:t>
      </w:r>
    </w:p>
    <w:p w:rsidR="00565D33" w:rsidRDefault="00452581">
      <w:pPr>
        <w:spacing w:after="252" w:line="259" w:lineRule="auto"/>
        <w:ind w:left="1810" w:right="55"/>
      </w:pPr>
      <w:r>
        <w:t xml:space="preserve">Annual payroll: $1,500,000 </w:t>
      </w:r>
    </w:p>
    <w:p w:rsidR="00565D33" w:rsidRDefault="00452581">
      <w:pPr>
        <w:spacing w:after="252" w:line="259" w:lineRule="auto"/>
        <w:ind w:left="1810" w:right="55"/>
      </w:pPr>
      <w:r>
        <w:t xml:space="preserve">Subtract compensation amounts in excess of an annual salary of </w:t>
      </w:r>
    </w:p>
    <w:p w:rsidR="00565D33" w:rsidRDefault="00452581">
      <w:pPr>
        <w:spacing w:after="252" w:line="259" w:lineRule="auto"/>
        <w:ind w:left="1810" w:right="55"/>
      </w:pPr>
      <w:r>
        <w:t xml:space="preserve">$100,000: $1,200,000 </w:t>
      </w:r>
    </w:p>
    <w:p w:rsidR="00565D33" w:rsidRDefault="00452581">
      <w:pPr>
        <w:spacing w:after="252" w:line="259" w:lineRule="auto"/>
        <w:ind w:left="1810" w:right="55"/>
      </w:pPr>
      <w:r>
        <w:t xml:space="preserve">Average monthly qualifying payroll: $100,000 </w:t>
      </w:r>
    </w:p>
    <w:p w:rsidR="00565D33" w:rsidRDefault="00452581">
      <w:pPr>
        <w:spacing w:after="252" w:line="259" w:lineRule="auto"/>
        <w:ind w:left="1810" w:right="55"/>
      </w:pPr>
      <w:r>
        <w:t xml:space="preserve">Multiply by 2.5 = $250,000 </w:t>
      </w:r>
    </w:p>
    <w:p w:rsidR="00565D33" w:rsidRDefault="00452581">
      <w:pPr>
        <w:ind w:left="1080" w:right="197" w:firstLine="720"/>
      </w:pPr>
      <w:r>
        <w:t>Maximim loan amount is $250,000 iii.</w:t>
      </w:r>
      <w:r>
        <w:rPr>
          <w:rFonts w:ascii="Arial" w:eastAsia="Arial" w:hAnsi="Arial" w:cs="Arial"/>
        </w:rPr>
        <w:t xml:space="preserve"> </w:t>
      </w:r>
      <w:r>
        <w:t xml:space="preserve">Example 3 – No employees make more than $100,000, outstanding EIDL loan of $10,000. </w:t>
      </w:r>
    </w:p>
    <w:p w:rsidR="00565D33" w:rsidRDefault="00452581">
      <w:pPr>
        <w:spacing w:after="252" w:line="259" w:lineRule="auto"/>
        <w:ind w:left="1810" w:right="55"/>
      </w:pPr>
      <w:r>
        <w:t xml:space="preserve">Annual payroll: $120,000 </w:t>
      </w:r>
    </w:p>
    <w:p w:rsidR="00565D33" w:rsidRDefault="00452581">
      <w:pPr>
        <w:spacing w:after="252" w:line="259" w:lineRule="auto"/>
        <w:ind w:left="1810" w:right="55"/>
      </w:pPr>
      <w:r>
        <w:t xml:space="preserve">Average monthly payroll: $10,000 </w:t>
      </w:r>
    </w:p>
    <w:p w:rsidR="00565D33" w:rsidRDefault="00452581">
      <w:pPr>
        <w:spacing w:after="252" w:line="259" w:lineRule="auto"/>
        <w:ind w:left="1810" w:right="55"/>
      </w:pPr>
      <w:r>
        <w:t xml:space="preserve">Multiply by 2.5 = $25,000 </w:t>
      </w:r>
    </w:p>
    <w:p w:rsidR="00565D33" w:rsidRDefault="00452581">
      <w:pPr>
        <w:spacing w:after="252" w:line="259" w:lineRule="auto"/>
        <w:ind w:left="1810" w:right="55"/>
      </w:pPr>
      <w:r>
        <w:t>Add EIDL loan of $1</w:t>
      </w:r>
      <w:r>
        <w:t xml:space="preserve">0,000 = $35,000 </w:t>
      </w:r>
    </w:p>
    <w:p w:rsidR="00565D33" w:rsidRDefault="00452581">
      <w:pPr>
        <w:spacing w:line="259" w:lineRule="auto"/>
        <w:ind w:left="1810" w:right="55"/>
      </w:pPr>
      <w:r>
        <w:lastRenderedPageBreak/>
        <w:t xml:space="preserve">Maximum loan amount is $35,000 </w:t>
      </w:r>
    </w:p>
    <w:p w:rsidR="00565D33" w:rsidRDefault="00452581">
      <w:pPr>
        <w:spacing w:after="252" w:line="259" w:lineRule="auto"/>
        <w:ind w:left="1090" w:right="55"/>
      </w:pPr>
      <w:r>
        <w:t>iv.</w:t>
      </w:r>
      <w:r>
        <w:rPr>
          <w:rFonts w:ascii="Arial" w:eastAsia="Arial" w:hAnsi="Arial" w:cs="Arial"/>
        </w:rPr>
        <w:t xml:space="preserve"> </w:t>
      </w:r>
      <w:r>
        <w:t xml:space="preserve">Example 4 – Some employees make more than $100,000, outstanding </w:t>
      </w:r>
    </w:p>
    <w:p w:rsidR="00565D33" w:rsidRDefault="00452581">
      <w:pPr>
        <w:spacing w:after="252" w:line="259" w:lineRule="auto"/>
        <w:ind w:left="1450" w:right="55"/>
      </w:pPr>
      <w:r>
        <w:t xml:space="preserve">EIDL loan of $10,000 </w:t>
      </w:r>
    </w:p>
    <w:p w:rsidR="00565D33" w:rsidRDefault="00452581">
      <w:pPr>
        <w:spacing w:after="252" w:line="259" w:lineRule="auto"/>
        <w:ind w:left="1901" w:right="55"/>
      </w:pPr>
      <w:r>
        <w:t xml:space="preserve">Annual payroll: $1,500,000 </w:t>
      </w:r>
    </w:p>
    <w:p w:rsidR="00565D33" w:rsidRDefault="00452581">
      <w:pPr>
        <w:spacing w:after="252" w:line="259" w:lineRule="auto"/>
        <w:ind w:left="1901" w:right="55"/>
      </w:pPr>
      <w:r>
        <w:t xml:space="preserve">Subtract compensation amounts in excess of an annual salary of </w:t>
      </w:r>
    </w:p>
    <w:p w:rsidR="00565D33" w:rsidRDefault="00452581">
      <w:pPr>
        <w:spacing w:after="252" w:line="259" w:lineRule="auto"/>
        <w:ind w:left="1901" w:right="55"/>
      </w:pPr>
      <w:r>
        <w:t xml:space="preserve">$100,000: $1,200,000 </w:t>
      </w:r>
    </w:p>
    <w:p w:rsidR="00565D33" w:rsidRDefault="00452581">
      <w:pPr>
        <w:spacing w:after="252" w:line="259" w:lineRule="auto"/>
        <w:ind w:left="1901" w:right="55"/>
      </w:pPr>
      <w:r>
        <w:t xml:space="preserve">Average monthly qualifying payroll: $100,000 </w:t>
      </w:r>
    </w:p>
    <w:p w:rsidR="00565D33" w:rsidRDefault="00452581">
      <w:pPr>
        <w:spacing w:after="252" w:line="259" w:lineRule="auto"/>
        <w:ind w:left="1901" w:right="55"/>
      </w:pPr>
      <w:r>
        <w:t xml:space="preserve">Multiply by 2.5 = $250,000 </w:t>
      </w:r>
    </w:p>
    <w:p w:rsidR="00565D33" w:rsidRDefault="00452581">
      <w:pPr>
        <w:spacing w:after="252" w:line="259" w:lineRule="auto"/>
        <w:ind w:left="1901" w:right="55"/>
      </w:pPr>
      <w:r>
        <w:t xml:space="preserve">Add EIDL loan of $10,000 = $260,000 </w:t>
      </w:r>
    </w:p>
    <w:p w:rsidR="00565D33" w:rsidRDefault="00452581">
      <w:pPr>
        <w:spacing w:after="260" w:line="259" w:lineRule="auto"/>
        <w:ind w:left="1901" w:right="55"/>
      </w:pPr>
      <w:r>
        <w:t xml:space="preserve">Maximum loan amount is $260,000 </w:t>
      </w:r>
    </w:p>
    <w:p w:rsidR="00565D33" w:rsidRDefault="00452581">
      <w:pPr>
        <w:numPr>
          <w:ilvl w:val="0"/>
          <w:numId w:val="6"/>
        </w:numPr>
        <w:spacing w:after="256" w:line="259" w:lineRule="auto"/>
        <w:ind w:hanging="360"/>
      </w:pPr>
      <w:r>
        <w:rPr>
          <w:i/>
        </w:rPr>
        <w:t xml:space="preserve">What qualifies as “payroll costs?” </w:t>
      </w:r>
    </w:p>
    <w:p w:rsidR="00565D33" w:rsidRDefault="00452581">
      <w:pPr>
        <w:ind w:left="715" w:right="55"/>
      </w:pPr>
      <w:r>
        <w:t xml:space="preserve">Payroll costs consist of compensation to employees (whose principal place of residence is the United States) in the form of salary, wages, commissions, or similar compensation; cash tips or the equivalent (based on employer records of past tips or, in the </w:t>
      </w:r>
      <w:r>
        <w:t>absence of such records, a reasonable, good-faith employer estimate of such tips); payment for vacation, parental, family, medical, or sick leave; allowance for separation or dismissal; payment for the provision of employee benefits consisting of group hea</w:t>
      </w:r>
      <w:r>
        <w:t>lth care coverage, including insurance premiums, and retirement; payment of state and local taxes assessed on compensation of employees; and for an independent contractor or sole proprietor, wage, commissions, income, or net earnings from self-employment o</w:t>
      </w:r>
      <w:r>
        <w:t xml:space="preserve">r similar compensation.   </w:t>
      </w:r>
    </w:p>
    <w:p w:rsidR="00565D33" w:rsidRDefault="00452581">
      <w:pPr>
        <w:numPr>
          <w:ilvl w:val="0"/>
          <w:numId w:val="6"/>
        </w:numPr>
        <w:spacing w:after="256" w:line="259" w:lineRule="auto"/>
        <w:ind w:hanging="360"/>
      </w:pPr>
      <w:r>
        <w:rPr>
          <w:i/>
        </w:rPr>
        <w:t xml:space="preserve">Is there anything that is expressly excluded from the definition of payroll costs? </w:t>
      </w:r>
    </w:p>
    <w:p w:rsidR="00565D33" w:rsidRDefault="00452581">
      <w:pPr>
        <w:spacing w:line="259" w:lineRule="auto"/>
        <w:ind w:left="715" w:right="55"/>
      </w:pPr>
      <w:r>
        <w:t xml:space="preserve">Yes.  The Act expressly excludes the following: </w:t>
      </w:r>
    </w:p>
    <w:p w:rsidR="00565D33" w:rsidRDefault="00452581">
      <w:pPr>
        <w:numPr>
          <w:ilvl w:val="1"/>
          <w:numId w:val="6"/>
        </w:numPr>
        <w:ind w:right="213"/>
      </w:pPr>
      <w:r>
        <w:lastRenderedPageBreak/>
        <w:t>Any compensation of an employee whose principal place of residence is outside of the United Stat</w:t>
      </w:r>
      <w:r>
        <w:t>es; ii.</w:t>
      </w:r>
      <w:r>
        <w:rPr>
          <w:rFonts w:ascii="Arial" w:eastAsia="Arial" w:hAnsi="Arial" w:cs="Arial"/>
        </w:rPr>
        <w:t xml:space="preserve"> </w:t>
      </w:r>
      <w:r>
        <w:t>The compensation of an individual employee in excess of an annual salary of $100,000, prorated as necessary;  iii.</w:t>
      </w:r>
      <w:r>
        <w:rPr>
          <w:rFonts w:ascii="Arial" w:eastAsia="Arial" w:hAnsi="Arial" w:cs="Arial"/>
        </w:rPr>
        <w:t xml:space="preserve"> </w:t>
      </w:r>
      <w:r>
        <w:t>Federal employment taxes imposed or withheld between February 15, 2020 and June 30, 2020, including the employee’s and employer’s sha</w:t>
      </w:r>
      <w:r>
        <w:t xml:space="preserve">re of FICA (Federal Insurance Contributions Act) and Railroad Retirement </w:t>
      </w:r>
    </w:p>
    <w:p w:rsidR="00565D33" w:rsidRDefault="00452581">
      <w:pPr>
        <w:ind w:left="1080" w:right="55" w:firstLine="360"/>
      </w:pPr>
      <w:r>
        <w:t>Act taxes, and income taxes</w:t>
      </w:r>
      <w:r>
        <w:rPr>
          <w:b/>
          <w:i/>
        </w:rPr>
        <w:t xml:space="preserve"> </w:t>
      </w:r>
      <w:r>
        <w:t>required to be withheld from employees; and iv.</w:t>
      </w:r>
      <w:r>
        <w:rPr>
          <w:rFonts w:ascii="Arial" w:eastAsia="Arial" w:hAnsi="Arial" w:cs="Arial"/>
        </w:rPr>
        <w:t xml:space="preserve"> </w:t>
      </w:r>
      <w:r>
        <w:t>Qualified sick and family leave wages for which a credit is allowed under sections 7001 and 7003 of the Fa</w:t>
      </w:r>
      <w:r>
        <w:t xml:space="preserve">milies First Coronavirus Response Act </w:t>
      </w:r>
    </w:p>
    <w:p w:rsidR="00565D33" w:rsidRDefault="00452581">
      <w:pPr>
        <w:spacing w:after="260" w:line="259" w:lineRule="auto"/>
        <w:ind w:left="1450" w:right="55"/>
      </w:pPr>
      <w:r>
        <w:t xml:space="preserve">(Public Law 116–127). </w:t>
      </w:r>
    </w:p>
    <w:p w:rsidR="00565D33" w:rsidRDefault="00452581">
      <w:pPr>
        <w:numPr>
          <w:ilvl w:val="0"/>
          <w:numId w:val="6"/>
        </w:numPr>
        <w:spacing w:after="0" w:line="476" w:lineRule="auto"/>
        <w:ind w:hanging="360"/>
      </w:pPr>
      <w:r>
        <w:rPr>
          <w:i/>
        </w:rPr>
        <w:t>Do independent contractors count as employees for purposes of PPP loan calculations?</w:t>
      </w:r>
      <w:r>
        <w:t xml:space="preserve"> </w:t>
      </w:r>
    </w:p>
    <w:p w:rsidR="00565D33" w:rsidRDefault="00452581">
      <w:pPr>
        <w:ind w:left="715" w:right="55"/>
      </w:pPr>
      <w:r>
        <w:t>No, independent contractors have the ability to apply for a PPP loan on their own so they do not count for p</w:t>
      </w:r>
      <w:r>
        <w:t xml:space="preserve">urposes of a borrower’s PPP loan calculation. </w:t>
      </w:r>
    </w:p>
    <w:p w:rsidR="00565D33" w:rsidRDefault="00452581">
      <w:pPr>
        <w:numPr>
          <w:ilvl w:val="0"/>
          <w:numId w:val="6"/>
        </w:numPr>
        <w:spacing w:after="256" w:line="259" w:lineRule="auto"/>
        <w:ind w:hanging="360"/>
      </w:pPr>
      <w:r>
        <w:rPr>
          <w:i/>
        </w:rPr>
        <w:t>What is the interest rate on a PPP loan?</w:t>
      </w:r>
      <w:r>
        <w:t xml:space="preserve"> </w:t>
      </w:r>
    </w:p>
    <w:p w:rsidR="00565D33" w:rsidRDefault="00452581">
      <w:pPr>
        <w:spacing w:after="252" w:line="259" w:lineRule="auto"/>
        <w:ind w:left="715" w:right="55"/>
      </w:pPr>
      <w:r>
        <w:t xml:space="preserve">The interest rate will be 100 basis points or one percent. </w:t>
      </w:r>
    </w:p>
    <w:p w:rsidR="00565D33" w:rsidRDefault="00452581">
      <w:pPr>
        <w:ind w:left="715" w:right="55"/>
      </w:pPr>
      <w:r>
        <w:t>The Administrator, in consultation with the Secretary, determined that a one percent interest rate is appro</w:t>
      </w:r>
      <w:r>
        <w:t>priate.  First, it provides low cost funds to borrowers to meet eligible payroll costs and other eligible expenses during this temporary period of economic dislocation caused by the coronavirus.  Second, for lenders, the 100 basis points offers an attracti</w:t>
      </w:r>
      <w:r>
        <w:t xml:space="preserve">ve interest rate relative to the cost of funding for comparable maturities.  For example, the FDIC’s weekly national average rate </w:t>
      </w:r>
      <w:r>
        <w:lastRenderedPageBreak/>
        <w:t>for a 24-month CD deposit product for the week of March 30, 2020 is 42 basis points for non-jumbo and 44 basis points for jumb</w:t>
      </w:r>
      <w:r>
        <w:t xml:space="preserve">o </w:t>
      </w:r>
    </w:p>
    <w:p w:rsidR="00565D33" w:rsidRDefault="00452581">
      <w:pPr>
        <w:ind w:left="715" w:right="55"/>
      </w:pPr>
      <w:hyperlink r:id="rId11">
        <w:r>
          <w:t>(</w:t>
        </w:r>
      </w:hyperlink>
      <w:hyperlink r:id="rId12">
        <w:r>
          <w:rPr>
            <w:color w:val="0000FF"/>
            <w:u w:val="single" w:color="0000FF"/>
          </w:rPr>
          <w:t>https://www.fdic.gov/regulations/resources/rates/</w:t>
        </w:r>
      </w:hyperlink>
      <w:hyperlink r:id="rId13">
        <w:r>
          <w:t>)</w:t>
        </w:r>
      </w:hyperlink>
      <w:r>
        <w:t>.  Third, the interest rate is higher than the yield on Treasury securities of comparable maturity.  For example, the yield on the Treasury two-year note is approximately 23 basis points.  This higher yield combined with the fact that the loans are 10</w:t>
      </w:r>
      <w:r>
        <w:t xml:space="preserve">0 percent guaranteed by the SBA and the fact that lenders will receive a substantial processing fee from the SBA provide ample inducement for lenders to participate in the PPP. </w:t>
      </w:r>
    </w:p>
    <w:p w:rsidR="00565D33" w:rsidRDefault="00452581">
      <w:pPr>
        <w:numPr>
          <w:ilvl w:val="0"/>
          <w:numId w:val="6"/>
        </w:numPr>
        <w:spacing w:after="256" w:line="259" w:lineRule="auto"/>
        <w:ind w:hanging="360"/>
      </w:pPr>
      <w:r>
        <w:rPr>
          <w:i/>
        </w:rPr>
        <w:t xml:space="preserve">What will be the maturity date on a PPP loan? </w:t>
      </w:r>
    </w:p>
    <w:p w:rsidR="00565D33" w:rsidRDefault="00452581">
      <w:pPr>
        <w:ind w:left="715" w:right="55"/>
      </w:pPr>
      <w:r>
        <w:t>The maturity is two years.  While the Act provides that a loan will have a maximum maturity of up to ten years from the date the borrower applies for loan forgiveness (described below), the Administrator, in consultation with the Secretary, determined that</w:t>
      </w:r>
      <w:r>
        <w:t xml:space="preserve"> a two year loan term is sufficient in light of the temporary economic dislocations caused by the coronavirus.  Specifically, the considerable economic disruption caused by the coronavirus is expected to abate well before the two year maturity date such th</w:t>
      </w:r>
      <w:r>
        <w:t xml:space="preserve">at borrowers will be able to recommence business operations  and pay off any outstanding balances on their PPP loans.  </w:t>
      </w:r>
      <w:r>
        <w:rPr>
          <w:i/>
        </w:rPr>
        <w:t xml:space="preserve"> </w:t>
      </w:r>
    </w:p>
    <w:p w:rsidR="00565D33" w:rsidRDefault="00452581">
      <w:pPr>
        <w:numPr>
          <w:ilvl w:val="0"/>
          <w:numId w:val="6"/>
        </w:numPr>
        <w:spacing w:after="256" w:line="259" w:lineRule="auto"/>
        <w:ind w:hanging="360"/>
      </w:pPr>
      <w:r>
        <w:rPr>
          <w:i/>
        </w:rPr>
        <w:t xml:space="preserve">Can I apply for more than one PPP loan? </w:t>
      </w:r>
    </w:p>
    <w:p w:rsidR="00565D33" w:rsidRDefault="00452581">
      <w:pPr>
        <w:ind w:left="715" w:right="55"/>
      </w:pPr>
      <w:r>
        <w:t>No.  The Administrator, in consultation with the Secretary, determined that no eligible borrow</w:t>
      </w:r>
      <w:r>
        <w:t xml:space="preserve">er may receive more than one PPP loan.  This means that if you apply for a PPP loan you should consider applying for the maximum amount.  </w:t>
      </w:r>
    </w:p>
    <w:p w:rsidR="00565D33" w:rsidRDefault="00452581">
      <w:pPr>
        <w:spacing w:line="259" w:lineRule="auto"/>
        <w:ind w:left="715" w:right="55"/>
      </w:pPr>
      <w:r>
        <w:t xml:space="preserve">While the Act does not expressly provide that each eligible borrower may only </w:t>
      </w:r>
    </w:p>
    <w:p w:rsidR="00565D33" w:rsidRDefault="00452581">
      <w:pPr>
        <w:ind w:left="715" w:right="55"/>
      </w:pPr>
      <w:r>
        <w:lastRenderedPageBreak/>
        <w:t>receive one PPP loan, the Administrato</w:t>
      </w:r>
      <w:r>
        <w:t>r has determined, in consultation with the Secretary, that because all PPP loans must be made on or before June 30, 2020, a one loan per borrower limitation is necessary to help ensure that as many eligible borrowers as possible may obtain a PPP loan.  Thi</w:t>
      </w:r>
      <w:r>
        <w:t xml:space="preserve">s limitation will also help advance Congress’ goal of keeping workers paid and employed across the United </w:t>
      </w:r>
    </w:p>
    <w:p w:rsidR="00565D33" w:rsidRDefault="00452581">
      <w:pPr>
        <w:spacing w:after="260" w:line="259" w:lineRule="auto"/>
        <w:ind w:left="715" w:right="55"/>
      </w:pPr>
      <w:r>
        <w:t>States.</w:t>
      </w:r>
      <w:r>
        <w:rPr>
          <w:i/>
        </w:rPr>
        <w:t xml:space="preserve"> </w:t>
      </w:r>
    </w:p>
    <w:p w:rsidR="00565D33" w:rsidRDefault="00452581">
      <w:pPr>
        <w:numPr>
          <w:ilvl w:val="0"/>
          <w:numId w:val="6"/>
        </w:numPr>
        <w:spacing w:after="256" w:line="259" w:lineRule="auto"/>
        <w:ind w:hanging="360"/>
      </w:pPr>
      <w:r>
        <w:rPr>
          <w:i/>
        </w:rPr>
        <w:t xml:space="preserve">Can I use e-signatures or e-consents if a borrower has multiple owners? </w:t>
      </w:r>
    </w:p>
    <w:p w:rsidR="00565D33" w:rsidRDefault="00452581">
      <w:pPr>
        <w:spacing w:after="260" w:line="259" w:lineRule="auto"/>
        <w:ind w:left="715" w:right="55"/>
      </w:pPr>
      <w:r>
        <w:t xml:space="preserve">Yes, e-signature or e-consents can be used regardless of the number of owners. </w:t>
      </w:r>
    </w:p>
    <w:p w:rsidR="00565D33" w:rsidRDefault="00452581">
      <w:pPr>
        <w:numPr>
          <w:ilvl w:val="0"/>
          <w:numId w:val="6"/>
        </w:numPr>
        <w:spacing w:after="256" w:line="259" w:lineRule="auto"/>
        <w:ind w:hanging="360"/>
      </w:pPr>
      <w:r>
        <w:rPr>
          <w:i/>
        </w:rPr>
        <w:t xml:space="preserve">Is the PPP “first-come, first-served?” </w:t>
      </w:r>
    </w:p>
    <w:p w:rsidR="00565D33" w:rsidRDefault="00452581">
      <w:pPr>
        <w:spacing w:after="260" w:line="259" w:lineRule="auto"/>
        <w:ind w:left="715" w:right="55"/>
      </w:pPr>
      <w:r>
        <w:t xml:space="preserve">Yes. </w:t>
      </w:r>
    </w:p>
    <w:p w:rsidR="00565D33" w:rsidRDefault="00452581">
      <w:pPr>
        <w:numPr>
          <w:ilvl w:val="0"/>
          <w:numId w:val="6"/>
        </w:numPr>
        <w:ind w:hanging="360"/>
      </w:pPr>
      <w:r>
        <w:rPr>
          <w:i/>
        </w:rPr>
        <w:t xml:space="preserve">When will I have to begin paying principal and interest on my PPP loan? </w:t>
      </w:r>
      <w:r>
        <w:t>You will not have to make any payments for six months foll</w:t>
      </w:r>
      <w:r>
        <w:t>owing the date of disbursement of the loan.  However, interest will continue to accrue on PPP loans during this six-month deferment.  The Act authorizes the Administrator to defer loan payments for up to one year.  The Administrator determined, in consulta</w:t>
      </w:r>
      <w:r>
        <w:t xml:space="preserve">tion with the Secretary, that a six-month deferment period is appropriate in light of the modest interest rate (one percent) on PPP loans and the loan forgiveness provisions contained in the Act. </w:t>
      </w:r>
    </w:p>
    <w:p w:rsidR="00565D33" w:rsidRDefault="00452581">
      <w:pPr>
        <w:numPr>
          <w:ilvl w:val="0"/>
          <w:numId w:val="6"/>
        </w:numPr>
        <w:spacing w:after="256" w:line="259" w:lineRule="auto"/>
        <w:ind w:hanging="360"/>
      </w:pPr>
      <w:r>
        <w:rPr>
          <w:i/>
        </w:rPr>
        <w:t xml:space="preserve">Can my PPP loan be forgiven in whole or in part? </w:t>
      </w:r>
    </w:p>
    <w:p w:rsidR="00565D33" w:rsidRDefault="00452581">
      <w:pPr>
        <w:ind w:left="715" w:right="55"/>
      </w:pPr>
      <w:r>
        <w:t>Yes.  The</w:t>
      </w:r>
      <w:r>
        <w:t xml:space="preserve"> amount of loan forgiveness can be up to the full principal amount of the loan and any accrued interest.  That is, the borrower will not be responsible for any loan payment if the borrower uses all of the loan proceeds for forgiveable purposes described be</w:t>
      </w:r>
      <w:r>
        <w:t xml:space="preserve">low and employee and compensation levels levels are </w:t>
      </w:r>
      <w:r>
        <w:lastRenderedPageBreak/>
        <w:t>maintained.  The actual amount of loan forgiveness will depend, in part, on the total amount of payroll costs, payments of interest on mortgage obligations incurred before February 15, 2020, rent payments</w:t>
      </w:r>
      <w:r>
        <w:t xml:space="preserve"> on leases dated before February 15, 2020, and utility payments under service agreements dated before February 15, 2020, over the eight-week period following the date of the loan.  However, not more than 25 percent of the loan forgiveness amount may be att</w:t>
      </w:r>
      <w:r>
        <w:t>ributable to nonpayroll costs.  While the Act provides that borrowers are eligible for forgiveness in an amount equal to the sum of payroll costs and any payments of mortgage interest, rent, and utilities, the Administrator has determined that the non-payr</w:t>
      </w:r>
      <w:r>
        <w:t>oll portion of the forgivable loan amount should be limited to effectuate the core purpose of the statute and ensure finite program resources are devoted primarily to payroll.  The Administrator has determined in consultation with the Secretary that 75 per</w:t>
      </w:r>
      <w:r>
        <w:t>cent is an appropriate percentage in light of the Act’s overarching focus on keeping workers paid and employed.  Further, the Administrator and the Secretary believe that applying this threshold to loan forgiveness is consistent with the structure of the A</w:t>
      </w:r>
      <w:r>
        <w:t>ct, which provides a loan amount 75 percent of which is equivalent to eight weeks of payroll (8 weeks / 2.5 months = 56 days / 76 days = 74 percent rounded up to 75 percent).  Limiting non-payroll costs to 25 percent of the forgiveness amount will align th</w:t>
      </w:r>
      <w:r>
        <w:t xml:space="preserve">ese elements of the program, and will also help to ensure that the finite appropriations available for PPP loan forgiveness are directed toward payroll protection.  SBA will issue additional guidance on loan forgiveness. </w:t>
      </w:r>
    </w:p>
    <w:p w:rsidR="00565D33" w:rsidRDefault="00452581">
      <w:pPr>
        <w:numPr>
          <w:ilvl w:val="0"/>
          <w:numId w:val="6"/>
        </w:numPr>
        <w:spacing w:after="0" w:line="476" w:lineRule="auto"/>
        <w:ind w:hanging="360"/>
      </w:pPr>
      <w:r>
        <w:rPr>
          <w:i/>
        </w:rPr>
        <w:lastRenderedPageBreak/>
        <w:t>Do independent contractors count a</w:t>
      </w:r>
      <w:r>
        <w:rPr>
          <w:i/>
        </w:rPr>
        <w:t>s employees for purposes of PPP loan forgiveness?</w:t>
      </w:r>
      <w:r>
        <w:t xml:space="preserve"> </w:t>
      </w:r>
    </w:p>
    <w:p w:rsidR="00565D33" w:rsidRDefault="00452581">
      <w:pPr>
        <w:ind w:left="715" w:right="55"/>
      </w:pPr>
      <w:r>
        <w:t xml:space="preserve">No, independent contractors have the ability to apply for a PPP loan on their own so they do not count for purposes of a borrower’s PPP loan forgiveness.  </w:t>
      </w:r>
    </w:p>
    <w:p w:rsidR="00565D33" w:rsidRDefault="00452581">
      <w:pPr>
        <w:numPr>
          <w:ilvl w:val="0"/>
          <w:numId w:val="6"/>
        </w:numPr>
        <w:spacing w:after="256" w:line="259" w:lineRule="auto"/>
        <w:ind w:hanging="360"/>
      </w:pPr>
      <w:r>
        <w:rPr>
          <w:i/>
        </w:rPr>
        <w:t>What forms do I need and how do I submit an appli</w:t>
      </w:r>
      <w:r>
        <w:rPr>
          <w:i/>
        </w:rPr>
        <w:t>cation?</w:t>
      </w:r>
      <w:r>
        <w:t xml:space="preserve"> </w:t>
      </w:r>
    </w:p>
    <w:p w:rsidR="00565D33" w:rsidRDefault="00452581">
      <w:pPr>
        <w:ind w:left="715" w:right="55"/>
      </w:pPr>
      <w:r>
        <w:t>The applicant must submit SBA Form 2483 (Paycheck Protection Program Application Form) and payroll documentation, as described above.  The lender must submit SBA Form 2484 (Paycheck Protection Program Lender’s Application for 7(a) Loan Guaranty) e</w:t>
      </w:r>
      <w:r>
        <w:t xml:space="preserve">lectronically in accordance with program requirements and maintain the forms and supporting documentation in its files.   </w:t>
      </w:r>
    </w:p>
    <w:p w:rsidR="00565D33" w:rsidRDefault="00452581">
      <w:pPr>
        <w:numPr>
          <w:ilvl w:val="0"/>
          <w:numId w:val="6"/>
        </w:numPr>
        <w:spacing w:after="256" w:line="259" w:lineRule="auto"/>
        <w:ind w:hanging="360"/>
      </w:pPr>
      <w:r>
        <w:rPr>
          <w:i/>
        </w:rPr>
        <w:t xml:space="preserve">How can PPP loans be used? </w:t>
      </w:r>
    </w:p>
    <w:p w:rsidR="00565D33" w:rsidRDefault="00452581">
      <w:pPr>
        <w:spacing w:after="260" w:line="259" w:lineRule="auto"/>
        <w:ind w:left="715" w:right="55"/>
      </w:pPr>
      <w:r>
        <w:t xml:space="preserve">The proceeds of a PPP loan are to be used for: </w:t>
      </w:r>
    </w:p>
    <w:p w:rsidR="00565D33" w:rsidRDefault="00452581">
      <w:pPr>
        <w:numPr>
          <w:ilvl w:val="1"/>
          <w:numId w:val="6"/>
        </w:numPr>
        <w:spacing w:after="3"/>
        <w:ind w:right="213"/>
      </w:pPr>
      <w:r>
        <w:t>payroll costs (as defined in the Act and in 2.f.);  ii.</w:t>
      </w:r>
      <w:r>
        <w:rPr>
          <w:rFonts w:ascii="Arial" w:eastAsia="Arial" w:hAnsi="Arial" w:cs="Arial"/>
        </w:rPr>
        <w:t xml:space="preserve"> </w:t>
      </w:r>
      <w:r>
        <w:t>costs related to the continuation of group health care benefits during periods of paid sick, medical, or family leave, and insurance premiums;   iii.</w:t>
      </w:r>
      <w:r>
        <w:rPr>
          <w:rFonts w:ascii="Arial" w:eastAsia="Arial" w:hAnsi="Arial" w:cs="Arial"/>
        </w:rPr>
        <w:t xml:space="preserve"> </w:t>
      </w:r>
      <w:r>
        <w:t>mortgage interest payments (but not mortgage prepayments or principal payments); iv.</w:t>
      </w:r>
      <w:r>
        <w:rPr>
          <w:rFonts w:ascii="Arial" w:eastAsia="Arial" w:hAnsi="Arial" w:cs="Arial"/>
        </w:rPr>
        <w:t xml:space="preserve"> </w:t>
      </w:r>
      <w:r>
        <w:t xml:space="preserve">rent payments;  </w:t>
      </w:r>
    </w:p>
    <w:p w:rsidR="00565D33" w:rsidRDefault="00452581">
      <w:pPr>
        <w:ind w:left="1090" w:right="237"/>
      </w:pPr>
      <w:r>
        <w:t>v.</w:t>
      </w:r>
      <w:r>
        <w:rPr>
          <w:rFonts w:ascii="Arial" w:eastAsia="Arial" w:hAnsi="Arial" w:cs="Arial"/>
        </w:rPr>
        <w:t xml:space="preserve"> </w:t>
      </w:r>
      <w:r>
        <w:t>u</w:t>
      </w:r>
      <w:r>
        <w:t>tility payments;  vi.</w:t>
      </w:r>
      <w:r>
        <w:rPr>
          <w:rFonts w:ascii="Arial" w:eastAsia="Arial" w:hAnsi="Arial" w:cs="Arial"/>
        </w:rPr>
        <w:t xml:space="preserve"> </w:t>
      </w:r>
      <w:r>
        <w:t xml:space="preserve">interest payments on any other debt obligations that were incurred before </w:t>
      </w:r>
    </w:p>
    <w:p w:rsidR="00565D33" w:rsidRDefault="00452581">
      <w:pPr>
        <w:ind w:left="1080" w:right="156" w:firstLine="360"/>
      </w:pPr>
      <w:r>
        <w:t>February 15, 2020; and/or vii.</w:t>
      </w:r>
      <w:r>
        <w:rPr>
          <w:rFonts w:ascii="Arial" w:eastAsia="Arial" w:hAnsi="Arial" w:cs="Arial"/>
        </w:rPr>
        <w:t xml:space="preserve"> </w:t>
      </w:r>
      <w:r>
        <w:t xml:space="preserve">refinancing an SBA EIDL loan made between January 31, 2020 and April </w:t>
      </w:r>
    </w:p>
    <w:p w:rsidR="00565D33" w:rsidRDefault="00452581">
      <w:pPr>
        <w:spacing w:line="259" w:lineRule="auto"/>
        <w:ind w:left="1450" w:right="55"/>
      </w:pPr>
      <w:r>
        <w:t>3, 2020.  If you received an SBA EIDL loan from January 31</w:t>
      </w:r>
      <w:r>
        <w:t xml:space="preserve">, 2020 </w:t>
      </w:r>
    </w:p>
    <w:p w:rsidR="00565D33" w:rsidRDefault="00452581">
      <w:pPr>
        <w:ind w:left="1450" w:right="55"/>
      </w:pPr>
      <w:r>
        <w:t xml:space="preserve">through April 3, 2020, you can apply for a PPP loan.  If your EIDL loan was not used for payroll costs, it does not affect your eligibility for a PPP </w:t>
      </w:r>
      <w:r>
        <w:lastRenderedPageBreak/>
        <w:t xml:space="preserve">loan.  If your EIDL loan was used for payroll costs, your PPP loan must be used to refinance your </w:t>
      </w:r>
      <w:r>
        <w:t xml:space="preserve">EIDL loan.  Proceeds from any advance up to $10,000 on the EIDL loan will be deducted from the loan forgiveness amount on the PPP loan. </w:t>
      </w:r>
    </w:p>
    <w:p w:rsidR="00565D33" w:rsidRDefault="00452581">
      <w:pPr>
        <w:ind w:left="715" w:right="55"/>
      </w:pPr>
      <w:r>
        <w:t>However, at least 75 percent of the PPP loan proceeds shall be used for payroll costs.  For purposes of determining the</w:t>
      </w:r>
      <w:r>
        <w:t xml:space="preserve"> percentage of use of proceeds for payroll costs, the amount of any EIDL refinanced will be included.  For purposes of loan forgiveness, however, the borrower will have to document the proceeds used for payroll costs in order to determine the amount of for</w:t>
      </w:r>
      <w:r>
        <w:t>giveness.  While the Act provides that PPP loan proceeds may be used for the purposes listed above and for other allowable uses described in section 7(a) of the Small Business Act (15 U.S.C. 636(a)), the Administrator believes that finite appropriations an</w:t>
      </w:r>
      <w:r>
        <w:t>d the structure of the Act warrant a requirement that borrowers use a substantial portion of the loan proceeds for payroll costs, consistent with Congress’ overarching goal of keeping workers paid and employed.  As with the similar limitation on the forgiv</w:t>
      </w:r>
      <w:r>
        <w:t xml:space="preserve">eness amount explained earlier, the Administrator, in consultation with the Secretary, has determined that 75 percent is an appropriate percentage that will align this element of the program with the loan amount, 75 percent of which is equivalent to eight </w:t>
      </w:r>
      <w:r>
        <w:t>weeks of payroll.  This limitation on use of the loan funds will help to ensure that the finite appropriations available for these loans are directed toward payroll protection, as each loan that is issued depletes the appropriation, regardless of whether p</w:t>
      </w:r>
      <w:r>
        <w:t xml:space="preserve">ortions of the loan are later forgiven. </w:t>
      </w:r>
      <w:r>
        <w:rPr>
          <w:i/>
        </w:rPr>
        <w:t xml:space="preserve"> </w:t>
      </w:r>
    </w:p>
    <w:p w:rsidR="00565D33" w:rsidRDefault="00452581">
      <w:pPr>
        <w:numPr>
          <w:ilvl w:val="0"/>
          <w:numId w:val="7"/>
        </w:numPr>
        <w:spacing w:after="256" w:line="259" w:lineRule="auto"/>
        <w:ind w:hanging="360"/>
      </w:pPr>
      <w:r>
        <w:rPr>
          <w:i/>
        </w:rPr>
        <w:t>What happens if PPP loan funds are misused?</w:t>
      </w:r>
      <w:r>
        <w:t xml:space="preserve"> </w:t>
      </w:r>
    </w:p>
    <w:p w:rsidR="00565D33" w:rsidRDefault="00452581">
      <w:pPr>
        <w:ind w:left="715" w:right="55"/>
      </w:pPr>
      <w:r>
        <w:lastRenderedPageBreak/>
        <w:t xml:space="preserve">If you use PPP funds for unauthorized purposes, </w:t>
      </w:r>
      <w:r>
        <w:rPr>
          <w:color w:val="222222"/>
        </w:rPr>
        <w:t xml:space="preserve">SBA will direct you to repay those amounts.  If you knowingly </w:t>
      </w:r>
      <w:r>
        <w:t>use the funds for unauthorized purposes, you will be subjec</w:t>
      </w:r>
      <w:r>
        <w:t xml:space="preserve">t to additional liability such as charges for fraud.  If one of your shareholders, members, or partners uses PPP funds for unauthorized purposes, SBA will have recourse against the shareholder, member, or partner for the unauthorized use. </w:t>
      </w:r>
    </w:p>
    <w:p w:rsidR="00565D33" w:rsidRDefault="00452581">
      <w:pPr>
        <w:numPr>
          <w:ilvl w:val="0"/>
          <w:numId w:val="7"/>
        </w:numPr>
        <w:spacing w:after="256" w:line="259" w:lineRule="auto"/>
        <w:ind w:hanging="360"/>
      </w:pPr>
      <w:r>
        <w:rPr>
          <w:i/>
        </w:rPr>
        <w:t>What certificati</w:t>
      </w:r>
      <w:r>
        <w:rPr>
          <w:i/>
        </w:rPr>
        <w:t>ons need to be made?</w:t>
      </w:r>
      <w:r>
        <w:t xml:space="preserve"> </w:t>
      </w:r>
    </w:p>
    <w:p w:rsidR="00565D33" w:rsidRDefault="00452581">
      <w:pPr>
        <w:spacing w:after="35"/>
        <w:ind w:left="715" w:right="55"/>
      </w:pPr>
      <w:r>
        <w:t>On the Paycheck Protection Program application, an authorized representative of the applicant must certify in good faith to all of the below:</w:t>
      </w:r>
      <w:r>
        <w:rPr>
          <w:vertAlign w:val="superscript"/>
        </w:rPr>
        <w:footnoteReference w:id="1"/>
      </w:r>
      <w:r>
        <w:t xml:space="preserve"> </w:t>
      </w:r>
    </w:p>
    <w:p w:rsidR="00565D33" w:rsidRDefault="00452581">
      <w:pPr>
        <w:numPr>
          <w:ilvl w:val="1"/>
          <w:numId w:val="7"/>
        </w:numPr>
        <w:ind w:right="55" w:hanging="360"/>
      </w:pPr>
      <w:r>
        <w:t>The applicant was in operation on February 15, 2020 and had employees for whom it paid sal</w:t>
      </w:r>
      <w:r>
        <w:t xml:space="preserve">aries and payroll taxes or paid independent contractors, as reported on a Form 1099-MISC. </w:t>
      </w:r>
    </w:p>
    <w:p w:rsidR="00565D33" w:rsidRDefault="00452581">
      <w:pPr>
        <w:numPr>
          <w:ilvl w:val="1"/>
          <w:numId w:val="7"/>
        </w:numPr>
        <w:ind w:right="55" w:hanging="360"/>
      </w:pPr>
      <w:r>
        <w:t xml:space="preserve">Current economic uncertainty makes this loan request necessary to support the ongoing operations of the applicant. </w:t>
      </w:r>
    </w:p>
    <w:p w:rsidR="00565D33" w:rsidRDefault="00452581">
      <w:pPr>
        <w:numPr>
          <w:ilvl w:val="1"/>
          <w:numId w:val="7"/>
        </w:numPr>
        <w:spacing w:after="627"/>
        <w:ind w:right="55" w:hanging="360"/>
      </w:pPr>
      <w:r>
        <w:t>The funds will be used to retain workers and main</w:t>
      </w:r>
      <w:r>
        <w:t xml:space="preserve">tain payroll or make mortgage interest payments, lease payments, and utility payments; I understand that if the funds are knowingly used for unauthorized purposes, the federal government may hold me legally liable such as for charges of </w:t>
      </w:r>
    </w:p>
    <w:p w:rsidR="00565D33" w:rsidRDefault="00452581">
      <w:pPr>
        <w:spacing w:after="0" w:line="259" w:lineRule="auto"/>
        <w:ind w:left="0" w:firstLine="0"/>
      </w:pPr>
      <w:r>
        <w:rPr>
          <w:rFonts w:ascii="Calibri" w:eastAsia="Calibri" w:hAnsi="Calibri" w:cs="Calibri"/>
          <w:noProof/>
          <w:sz w:val="22"/>
        </w:rPr>
        <mc:AlternateContent>
          <mc:Choice Requires="wpg">
            <w:drawing>
              <wp:inline distT="0" distB="0" distL="0" distR="0">
                <wp:extent cx="1828800" cy="7620"/>
                <wp:effectExtent l="0" t="0" r="0" b="0"/>
                <wp:docPr id="14710" name="Group 1471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8730" name="Shape 1873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10" style="width:144pt;height:0.599976pt;mso-position-horizontal-relative:char;mso-position-vertical-relative:line" coordsize="18288,76">
                <v:shape id="Shape 18731"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565D33" w:rsidRDefault="00452581">
      <w:pPr>
        <w:ind w:left="1450" w:right="55"/>
      </w:pPr>
      <w:r>
        <w:t xml:space="preserve">fraud.  As explained above, not more than 25 percent of loan proceeds may be used for non-payroll costs. </w:t>
      </w:r>
    </w:p>
    <w:p w:rsidR="00565D33" w:rsidRDefault="00452581">
      <w:pPr>
        <w:numPr>
          <w:ilvl w:val="1"/>
          <w:numId w:val="7"/>
        </w:numPr>
        <w:ind w:right="55" w:hanging="360"/>
      </w:pPr>
      <w:r>
        <w:lastRenderedPageBreak/>
        <w:t>Documentation verifying the number of full-time equivalent employees on payroll as well as the dollar amounts of payroll costs, covered mortgage interest payments, covered rent payments, and covered utilities for the eight week period following this loan w</w:t>
      </w:r>
      <w:r>
        <w:t xml:space="preserve">ill be provided to the lender.   </w:t>
      </w:r>
    </w:p>
    <w:p w:rsidR="00565D33" w:rsidRDefault="00452581">
      <w:pPr>
        <w:numPr>
          <w:ilvl w:val="1"/>
          <w:numId w:val="7"/>
        </w:numPr>
        <w:ind w:right="55" w:hanging="360"/>
      </w:pPr>
      <w:r>
        <w:t>Loan forgiveness will be provided for the sum of documented payroll costs, covered mortgage interest payments, covered rent payments, and covered utilities.  As explained above, not more than 25 percent of the forgiven amo</w:t>
      </w:r>
      <w:r>
        <w:t xml:space="preserve">unt may be for non-payroll costs. </w:t>
      </w:r>
    </w:p>
    <w:p w:rsidR="00565D33" w:rsidRDefault="00452581">
      <w:pPr>
        <w:numPr>
          <w:ilvl w:val="1"/>
          <w:numId w:val="7"/>
        </w:numPr>
        <w:ind w:right="55" w:hanging="360"/>
      </w:pPr>
      <w:r>
        <w:t xml:space="preserve">During the period beginning on February 15, 2020 and ending on December 31, 2020, the applicant has not and will not receive another loan under this program. </w:t>
      </w:r>
    </w:p>
    <w:p w:rsidR="00565D33" w:rsidRDefault="00452581">
      <w:pPr>
        <w:numPr>
          <w:ilvl w:val="1"/>
          <w:numId w:val="7"/>
        </w:numPr>
        <w:ind w:right="55" w:hanging="360"/>
      </w:pPr>
      <w:r>
        <w:t>I further certify that the information provided in this applic</w:t>
      </w:r>
      <w:r>
        <w:t xml:space="preserve">ation and the information provided in all supporting documents and forms is true and accurate in all material respects.  I understand that knowingly making a false statement to obtain a guaranteed loan from SBA is punishable under the law, including under </w:t>
      </w:r>
      <w:r>
        <w:t>18 USC 1001 and 3571 by imprisonment of not more than five years and/or a fine of up to $250,000; under 15 USC 645 by imprisonment of not more than two years and/or a fine of not more than $5,000; and, if submitted to a federally insured institution, under</w:t>
      </w:r>
      <w:r>
        <w:t xml:space="preserve"> 18 USC 1014 by imprisonment of not more than thirty years and/or a fine of not more than $1,000,000. </w:t>
      </w:r>
    </w:p>
    <w:p w:rsidR="00565D33" w:rsidRDefault="00452581" w:rsidP="0029170A">
      <w:pPr>
        <w:numPr>
          <w:ilvl w:val="1"/>
          <w:numId w:val="7"/>
        </w:numPr>
        <w:ind w:right="55" w:hanging="360"/>
      </w:pPr>
      <w:r>
        <w:t xml:space="preserve">I acknowledge that the lender will confirm the eligible loan amount using tax documents I have submitted.  I affirm that these tax documents </w:t>
      </w:r>
      <w:r>
        <w:lastRenderedPageBreak/>
        <w:t>are identica</w:t>
      </w:r>
      <w:r>
        <w:t>l to those submitted to the Internal Revenue Service.   I also understand, acknowledge, and agree that the Lender can share the tax information with SBA’s authorized representatives, including authorized representatives of the SBA Office of Inspector Gener</w:t>
      </w:r>
      <w:r>
        <w:t>al, for the purpose of compliance with SBA Loan Program Requirements and all SBA reviews.</w:t>
      </w:r>
      <w:r>
        <w:rPr>
          <w:rFonts w:ascii="Cambria" w:eastAsia="Cambria" w:hAnsi="Cambria" w:cs="Cambria"/>
        </w:rPr>
        <w:t xml:space="preserve"> </w:t>
      </w:r>
      <w:r w:rsidRPr="0029170A">
        <w:rPr>
          <w:i/>
        </w:rPr>
        <w:t xml:space="preserve"> </w:t>
      </w:r>
    </w:p>
    <w:sectPr w:rsidR="00565D33">
      <w:footerReference w:type="even" r:id="rId14"/>
      <w:footerReference w:type="default" r:id="rId15"/>
      <w:footerReference w:type="first" r:id="rId16"/>
      <w:footnotePr>
        <w:numRestart w:val="eachPage"/>
      </w:footnotePr>
      <w:pgSz w:w="12240" w:h="15840"/>
      <w:pgMar w:top="1496" w:right="1380" w:bottom="1440"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81" w:rsidRDefault="00452581">
      <w:pPr>
        <w:spacing w:after="0" w:line="240" w:lineRule="auto"/>
      </w:pPr>
      <w:r>
        <w:separator/>
      </w:r>
    </w:p>
  </w:endnote>
  <w:endnote w:type="continuationSeparator" w:id="0">
    <w:p w:rsidR="00452581" w:rsidRDefault="0045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33" w:rsidRDefault="00452581">
    <w:pPr>
      <w:tabs>
        <w:tab w:val="center" w:pos="4320"/>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33" w:rsidRDefault="00452581">
    <w:pPr>
      <w:tabs>
        <w:tab w:val="center" w:pos="4320"/>
      </w:tabs>
      <w:spacing w:after="0" w:line="259" w:lineRule="auto"/>
      <w:ind w:left="0" w:firstLine="0"/>
    </w:pPr>
    <w:r>
      <w:t xml:space="preserve"> </w:t>
    </w:r>
    <w:r>
      <w:tab/>
    </w:r>
    <w:r>
      <w:fldChar w:fldCharType="begin"/>
    </w:r>
    <w:r>
      <w:instrText xml:space="preserve"> PAGE   \* MERGEFORMAT </w:instrText>
    </w:r>
    <w:r>
      <w:fldChar w:fldCharType="separate"/>
    </w:r>
    <w:r w:rsidR="0029170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D33" w:rsidRDefault="00565D3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81" w:rsidRDefault="00452581">
      <w:pPr>
        <w:spacing w:after="0" w:line="277" w:lineRule="auto"/>
        <w:ind w:left="0" w:firstLine="0"/>
      </w:pPr>
      <w:r>
        <w:separator/>
      </w:r>
    </w:p>
  </w:footnote>
  <w:footnote w:type="continuationSeparator" w:id="0">
    <w:p w:rsidR="00452581" w:rsidRDefault="00452581">
      <w:pPr>
        <w:spacing w:after="0" w:line="277" w:lineRule="auto"/>
        <w:ind w:left="0" w:firstLine="0"/>
      </w:pPr>
      <w:r>
        <w:continuationSeparator/>
      </w:r>
    </w:p>
  </w:footnote>
  <w:footnote w:id="1">
    <w:p w:rsidR="00565D33" w:rsidRDefault="00452581">
      <w:pPr>
        <w:pStyle w:val="footnotedescription"/>
      </w:pPr>
      <w:r>
        <w:rPr>
          <w:rStyle w:val="footnotemark"/>
        </w:rPr>
        <w:footnoteRef/>
      </w:r>
      <w:r>
        <w:t xml:space="preserve"> A representative of the applicant can certify for the business as a whole if the representative is legally authorized to do so.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48B"/>
    <w:multiLevelType w:val="hybridMultilevel"/>
    <w:tmpl w:val="0AF81A54"/>
    <w:lvl w:ilvl="0" w:tplc="6A688994">
      <w:start w:val="2"/>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CA3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4E0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A6C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AAE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689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AA8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29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7C5D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03B10"/>
    <w:multiLevelType w:val="hybridMultilevel"/>
    <w:tmpl w:val="0BE47C5A"/>
    <w:lvl w:ilvl="0" w:tplc="FBEE6164">
      <w:start w:val="1"/>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488CB02">
      <w:start w:val="1"/>
      <w:numFmt w:val="lowerRoman"/>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8DFC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08C88">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2994C">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1CB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0D85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3C2CA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30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9B5B1E"/>
    <w:multiLevelType w:val="hybridMultilevel"/>
    <w:tmpl w:val="CDF6E13C"/>
    <w:lvl w:ilvl="0" w:tplc="6F800B4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AA06E">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AC642">
      <w:start w:val="1"/>
      <w:numFmt w:val="upp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7446E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64CFF6">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5AF3D0">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6610A">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369714">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468A4">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E20AAA"/>
    <w:multiLevelType w:val="hybridMultilevel"/>
    <w:tmpl w:val="98744948"/>
    <w:lvl w:ilvl="0" w:tplc="A29CD8E0">
      <w:start w:val="1"/>
      <w:numFmt w:val="decimal"/>
      <w:lvlText w:val="%1."/>
      <w:lvlJc w:val="left"/>
      <w:pPr>
        <w:ind w:left="7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8CE3956">
      <w:start w:val="1"/>
      <w:numFmt w:val="lowerLetter"/>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CAEB4D4">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F648DB0">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9501A4A">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3C49ED4">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41A88F8">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826E1C2">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5C6FE0A">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3F66F7"/>
    <w:multiLevelType w:val="hybridMultilevel"/>
    <w:tmpl w:val="D6BEB912"/>
    <w:lvl w:ilvl="0" w:tplc="8988ABF2">
      <w:start w:val="1"/>
      <w:numFmt w:val="upperLetter"/>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40AE2">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077A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421C6">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A77B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EA9FE2">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635E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8D48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4F0E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32249A"/>
    <w:multiLevelType w:val="hybridMultilevel"/>
    <w:tmpl w:val="BC72DE0C"/>
    <w:lvl w:ilvl="0" w:tplc="18C22AD8">
      <w:start w:val="1"/>
      <w:numFmt w:val="upperRoman"/>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0A6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AD4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C1B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824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683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44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E7D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2A5C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D9037D"/>
    <w:multiLevelType w:val="hybridMultilevel"/>
    <w:tmpl w:val="FE9EBC70"/>
    <w:lvl w:ilvl="0" w:tplc="CFDE0BB6">
      <w:start w:val="3"/>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FDE35CE">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756349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966A64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4FC51CC">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65CCCD2">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9DA5C9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9C228D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656D83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85260D4"/>
    <w:multiLevelType w:val="hybridMultilevel"/>
    <w:tmpl w:val="DE4CBA4A"/>
    <w:lvl w:ilvl="0" w:tplc="26A012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9AFAE6">
      <w:start w:val="1"/>
      <w:numFmt w:val="upperRoman"/>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A9170">
      <w:start w:val="1"/>
      <w:numFmt w:val="lowerRoman"/>
      <w:lvlText w:val="%3"/>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E064C">
      <w:start w:val="1"/>
      <w:numFmt w:val="decimal"/>
      <w:lvlText w:val="%4"/>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12D75E">
      <w:start w:val="1"/>
      <w:numFmt w:val="lowerLetter"/>
      <w:lvlText w:val="%5"/>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207B2">
      <w:start w:val="1"/>
      <w:numFmt w:val="lowerRoman"/>
      <w:lvlText w:val="%6"/>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AC3AAE">
      <w:start w:val="1"/>
      <w:numFmt w:val="decimal"/>
      <w:lvlText w:val="%7"/>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A29A8">
      <w:start w:val="1"/>
      <w:numFmt w:val="lowerLetter"/>
      <w:lvlText w:val="%8"/>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E3E98">
      <w:start w:val="1"/>
      <w:numFmt w:val="lowerRoman"/>
      <w:lvlText w:val="%9"/>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5156D3"/>
    <w:multiLevelType w:val="hybridMultilevel"/>
    <w:tmpl w:val="57BA00F0"/>
    <w:lvl w:ilvl="0" w:tplc="3454E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CA0C8">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C23F2">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486BAC">
      <w:start w:val="1"/>
      <w:numFmt w:val="lowerRoman"/>
      <w:lvlRestart w:val="0"/>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FA7DBA">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8EA34">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4AF30">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EC55D0">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32BA8A">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81199D"/>
    <w:multiLevelType w:val="hybridMultilevel"/>
    <w:tmpl w:val="98546602"/>
    <w:lvl w:ilvl="0" w:tplc="ECFAC1B2">
      <w:start w:val="19"/>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A0A5A">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4CDB8">
      <w:start w:val="1"/>
      <w:numFmt w:val="lowerRoman"/>
      <w:lvlText w:val="%3"/>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0AF30">
      <w:start w:val="1"/>
      <w:numFmt w:val="decimal"/>
      <w:lvlText w:val="%4"/>
      <w:lvlJc w:val="left"/>
      <w:pPr>
        <w:ind w:left="2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2216E">
      <w:start w:val="1"/>
      <w:numFmt w:val="lowerLetter"/>
      <w:lvlText w:val="%5"/>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FC2176">
      <w:start w:val="1"/>
      <w:numFmt w:val="lowerRoman"/>
      <w:lvlText w:val="%6"/>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084">
      <w:start w:val="1"/>
      <w:numFmt w:val="decimal"/>
      <w:lvlText w:val="%7"/>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EAA84">
      <w:start w:val="1"/>
      <w:numFmt w:val="lowerLetter"/>
      <w:lvlText w:val="%8"/>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A2A90">
      <w:start w:val="1"/>
      <w:numFmt w:val="lowerRoman"/>
      <w:lvlText w:val="%9"/>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0C23AD"/>
    <w:multiLevelType w:val="hybridMultilevel"/>
    <w:tmpl w:val="A9B0460A"/>
    <w:lvl w:ilvl="0" w:tplc="4CB2CC58">
      <w:start w:val="6"/>
      <w:numFmt w:val="lowerLetter"/>
      <w:lvlText w:val="%1."/>
      <w:lvlJc w:val="left"/>
      <w:pPr>
        <w:ind w:left="7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328F354">
      <w:start w:val="1"/>
      <w:numFmt w:val="lowerRoman"/>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746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EB0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E8E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7AF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A6EC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F0F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26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0"/>
  </w:num>
  <w:num w:numId="5">
    <w:abstractNumId w:val="8"/>
  </w:num>
  <w:num w:numId="6">
    <w:abstractNumId w:val="10"/>
  </w:num>
  <w:num w:numId="7">
    <w:abstractNumId w:val="9"/>
  </w:num>
  <w:num w:numId="8">
    <w:abstractNumId w:val="2"/>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3"/>
    <w:rsid w:val="0029170A"/>
    <w:rsid w:val="00452581"/>
    <w:rsid w:val="0056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072E"/>
  <w15:docId w15:val="{8CEEBCAF-7A5B-4447-927F-CA8CF1DC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48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49"/>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line="27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ba.gov/document/sop-50-10-5-lender-development-company-loan-programs" TargetMode="External"/><Relationship Id="rId13" Type="http://schemas.openxmlformats.org/officeDocument/2006/relationships/hyperlink" Target="https://www.fdic.gov/regulations/resources/r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dic.gov/regulations/resources/ra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ic.gov/regulations/resources/r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ba.gov/document/sop-50-10-5-lender-development-company-loan-programs" TargetMode="External"/><Relationship Id="rId4" Type="http://schemas.openxmlformats.org/officeDocument/2006/relationships/settings" Target="settings.xml"/><Relationship Id="rId9" Type="http://schemas.openxmlformats.org/officeDocument/2006/relationships/hyperlink" Target="https://www.sba.gov/document/sop-50-10-5-lender-development-company-loan-progra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616C-927A-408A-869C-0D66EE22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SUMMARY:  This interim final rule implements the SBA portion of P</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This interim final rule implements the SBA portion of P</dc:title>
  <dc:subject/>
  <dc:creator>iakish</dc:creator>
  <cp:keywords/>
  <cp:lastModifiedBy>Fred Welk</cp:lastModifiedBy>
  <cp:revision>2</cp:revision>
  <dcterms:created xsi:type="dcterms:W3CDTF">2020-04-03T16:26:00Z</dcterms:created>
  <dcterms:modified xsi:type="dcterms:W3CDTF">2020-04-03T16:26:00Z</dcterms:modified>
</cp:coreProperties>
</file>